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7CC78" w14:textId="1B34298F" w:rsidR="00992F25" w:rsidRPr="0052548E" w:rsidRDefault="00992F25" w:rsidP="00992F25">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00DF3892" w:rsidRPr="00DF3892">
        <w:rPr>
          <w:rFonts w:ascii="Arial" w:hAnsi="Arial" w:cs="Arial"/>
          <w:b/>
          <w:bCs/>
          <w:sz w:val="28"/>
        </w:rPr>
        <w:t>R1-1611628</w:t>
      </w:r>
    </w:p>
    <w:p w14:paraId="0C3C00F2" w14:textId="77777777" w:rsidR="00992F25" w:rsidRPr="0052548E" w:rsidRDefault="00992F25" w:rsidP="00992F25">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1FBAB71B"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992F25">
        <w:rPr>
          <w:rFonts w:ascii="Arial" w:hAnsi="Arial" w:cs="Arial"/>
          <w:snapToGrid w:val="0"/>
          <w:sz w:val="24"/>
        </w:rPr>
        <w:t>6</w:t>
      </w:r>
      <w:r w:rsidR="00335B11">
        <w:rPr>
          <w:rFonts w:ascii="Arial" w:hAnsi="Arial" w:cs="Arial"/>
          <w:snapToGrid w:val="0"/>
          <w:sz w:val="24"/>
        </w:rPr>
        <w:t>.2.</w:t>
      </w:r>
      <w:r w:rsidR="003016E4">
        <w:rPr>
          <w:rFonts w:ascii="Arial" w:hAnsi="Arial" w:cs="Arial"/>
          <w:snapToGrid w:val="0"/>
          <w:sz w:val="24"/>
        </w:rPr>
        <w:t>8</w:t>
      </w:r>
      <w:r>
        <w:rPr>
          <w:rFonts w:ascii="Arial" w:hAnsi="Arial" w:cs="Arial"/>
          <w:snapToGrid w:val="0"/>
          <w:sz w:val="24"/>
        </w:rPr>
        <w:t>.</w:t>
      </w:r>
      <w:r w:rsidR="003016E4">
        <w:rPr>
          <w:rFonts w:ascii="Arial" w:hAnsi="Arial" w:cs="Arial"/>
          <w:snapToGrid w:val="0"/>
          <w:sz w:val="24"/>
        </w:rPr>
        <w:t>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1924A98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B30E7E">
        <w:rPr>
          <w:rFonts w:ascii="Arial" w:hAnsi="Arial" w:cs="Arial"/>
          <w:snapToGrid w:val="0"/>
          <w:sz w:val="24"/>
        </w:rPr>
        <w:t xml:space="preserve">Power consumption reduction techniques for </w:t>
      </w:r>
      <w:proofErr w:type="spellStart"/>
      <w:r w:rsidR="00B30E7E">
        <w:rPr>
          <w:rFonts w:ascii="Arial" w:hAnsi="Arial" w:cs="Arial"/>
          <w:snapToGrid w:val="0"/>
          <w:sz w:val="24"/>
        </w:rPr>
        <w:t>eMTC</w:t>
      </w:r>
      <w:proofErr w:type="spellEnd"/>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3BF349E" w14:textId="72A544CC" w:rsidR="00A527FB" w:rsidRDefault="00437445" w:rsidP="00437445">
      <w:pPr>
        <w:pStyle w:val="LGTdoc1"/>
        <w:spacing w:beforeLines="0" w:before="120" w:after="220" w:afterAutospacing="0"/>
        <w:rPr>
          <w:b w:val="0"/>
          <w:sz w:val="22"/>
          <w:szCs w:val="22"/>
        </w:rPr>
      </w:pPr>
      <w:r>
        <w:rPr>
          <w:b w:val="0"/>
          <w:sz w:val="22"/>
          <w:szCs w:val="22"/>
        </w:rPr>
        <w:t xml:space="preserve">In Rel-13 </w:t>
      </w:r>
      <w:proofErr w:type="spellStart"/>
      <w:r>
        <w:rPr>
          <w:b w:val="0"/>
          <w:sz w:val="22"/>
          <w:szCs w:val="22"/>
        </w:rPr>
        <w:t>eMTC</w:t>
      </w:r>
      <w:proofErr w:type="spellEnd"/>
      <w:r w:rsidR="00A527FB">
        <w:rPr>
          <w:b w:val="0"/>
          <w:sz w:val="22"/>
          <w:szCs w:val="22"/>
        </w:rPr>
        <w:t xml:space="preserve">, </w:t>
      </w:r>
      <w:r w:rsidR="00B30E7E">
        <w:rPr>
          <w:b w:val="0"/>
          <w:sz w:val="22"/>
          <w:szCs w:val="22"/>
        </w:rPr>
        <w:t xml:space="preserve">the UE has to monitor MPDCCH every DRX ON cycle to determine if there is any transmission available for him. In many cases, and especially for applications that require relatively low latency (and, therefore, short DRX cycles), the UE will monitor MPDCCH and find that there is no grant available for him. Even for UEs in very good coverage, this implies to receive at least one entire </w:t>
      </w:r>
      <w:proofErr w:type="spellStart"/>
      <w:r w:rsidR="00B30E7E">
        <w:rPr>
          <w:b w:val="0"/>
          <w:sz w:val="22"/>
          <w:szCs w:val="22"/>
        </w:rPr>
        <w:t>subframe</w:t>
      </w:r>
      <w:proofErr w:type="spellEnd"/>
      <w:r w:rsidR="00B30E7E">
        <w:rPr>
          <w:b w:val="0"/>
          <w:sz w:val="22"/>
          <w:szCs w:val="22"/>
        </w:rPr>
        <w:t xml:space="preserve"> and blindly decode MPDCCH. In this contribution, we present enhancements that can be considered in the future to reduce the power consumption when decoding MPDCCH.</w:t>
      </w:r>
    </w:p>
    <w:p w14:paraId="66C4E70A" w14:textId="78E4E8C4" w:rsidR="00B30E7E" w:rsidRDefault="00B30E7E" w:rsidP="00B30E7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Early indication of MPDCCH presence</w:t>
      </w:r>
    </w:p>
    <w:p w14:paraId="20BC7518" w14:textId="647E9F67" w:rsidR="00B30E7E" w:rsidRDefault="00B30E7E" w:rsidP="00B30E7E">
      <w:pPr>
        <w:pStyle w:val="LGTdoc1"/>
        <w:spacing w:beforeLines="0" w:before="120" w:after="220" w:afterAutospacing="0"/>
        <w:rPr>
          <w:b w:val="0"/>
          <w:sz w:val="22"/>
          <w:szCs w:val="22"/>
        </w:rPr>
      </w:pPr>
      <w:r>
        <w:rPr>
          <w:b w:val="0"/>
          <w:sz w:val="22"/>
          <w:szCs w:val="22"/>
        </w:rPr>
        <w:t xml:space="preserve">In LTE, PDCCH is transmitted in the first OFDM symbols of every </w:t>
      </w:r>
      <w:proofErr w:type="spellStart"/>
      <w:r>
        <w:rPr>
          <w:b w:val="0"/>
          <w:sz w:val="22"/>
          <w:szCs w:val="22"/>
        </w:rPr>
        <w:t>subframe</w:t>
      </w:r>
      <w:proofErr w:type="spellEnd"/>
      <w:r>
        <w:rPr>
          <w:b w:val="0"/>
          <w:sz w:val="22"/>
          <w:szCs w:val="22"/>
        </w:rPr>
        <w:t xml:space="preserve">. With this TDM technique, the UE can determine that no PDCCH is available before finishing the reception of the </w:t>
      </w:r>
      <w:proofErr w:type="spellStart"/>
      <w:r>
        <w:rPr>
          <w:b w:val="0"/>
          <w:sz w:val="22"/>
          <w:szCs w:val="22"/>
        </w:rPr>
        <w:t>subframe</w:t>
      </w:r>
      <w:proofErr w:type="spellEnd"/>
      <w:r>
        <w:rPr>
          <w:b w:val="0"/>
          <w:sz w:val="22"/>
          <w:szCs w:val="22"/>
        </w:rPr>
        <w:t>, and can turn its receiver off. For example, for a 1 symbol control + 3 symbols of PDCCH processing, the UE can achieve RF/baseband power savings of 10/14 = 71% when no grant is transmitted.</w:t>
      </w:r>
    </w:p>
    <w:p w14:paraId="24FEF80C" w14:textId="65931EFE" w:rsidR="00B30E7E" w:rsidRDefault="00B30E7E" w:rsidP="00B30E7E">
      <w:pPr>
        <w:pStyle w:val="LGTdoc1"/>
        <w:spacing w:beforeLines="0" w:before="120" w:after="220" w:afterAutospacing="0"/>
        <w:rPr>
          <w:b w:val="0"/>
          <w:sz w:val="22"/>
          <w:szCs w:val="22"/>
        </w:rPr>
      </w:pPr>
      <w:r>
        <w:rPr>
          <w:b w:val="0"/>
          <w:sz w:val="22"/>
          <w:szCs w:val="22"/>
        </w:rPr>
        <w:t xml:space="preserve">Unfortunately, MPDCCH requires receiving the whole </w:t>
      </w:r>
      <w:proofErr w:type="spellStart"/>
      <w:r>
        <w:rPr>
          <w:b w:val="0"/>
          <w:sz w:val="22"/>
          <w:szCs w:val="22"/>
        </w:rPr>
        <w:t>subframe</w:t>
      </w:r>
      <w:proofErr w:type="spellEnd"/>
      <w:r>
        <w:rPr>
          <w:b w:val="0"/>
          <w:sz w:val="22"/>
          <w:szCs w:val="22"/>
        </w:rPr>
        <w:t xml:space="preserve"> to demodulate. Even an advanced UE in very good coverage would require to receive at least the first slot to get the DMRS for demodulation, so the power savings are going to be much smaller.</w:t>
      </w:r>
    </w:p>
    <w:p w14:paraId="77DC13AB" w14:textId="5818DE6C" w:rsidR="00B30E7E" w:rsidRDefault="00B30E7E" w:rsidP="00B30E7E">
      <w:pPr>
        <w:pStyle w:val="LGTdoc1"/>
        <w:spacing w:beforeLines="0" w:before="120" w:after="220" w:afterAutospacing="0"/>
        <w:rPr>
          <w:sz w:val="22"/>
          <w:szCs w:val="22"/>
        </w:rPr>
      </w:pPr>
      <w:r w:rsidRPr="00B30E7E">
        <w:rPr>
          <w:sz w:val="22"/>
          <w:szCs w:val="22"/>
          <w:u w:val="single"/>
        </w:rPr>
        <w:t>Observation 1:</w:t>
      </w:r>
      <w:r>
        <w:rPr>
          <w:sz w:val="22"/>
          <w:szCs w:val="22"/>
        </w:rPr>
        <w:t xml:space="preserve"> Legacy LTE UEs can early detect if PDCCH is present, and turn the receiver off for the rest of the </w:t>
      </w:r>
      <w:proofErr w:type="spellStart"/>
      <w:r>
        <w:rPr>
          <w:sz w:val="22"/>
          <w:szCs w:val="22"/>
        </w:rPr>
        <w:t>subframe</w:t>
      </w:r>
      <w:proofErr w:type="spellEnd"/>
      <w:r>
        <w:rPr>
          <w:sz w:val="22"/>
          <w:szCs w:val="22"/>
        </w:rPr>
        <w:t>. This is not possible with MPDCCH.</w:t>
      </w:r>
    </w:p>
    <w:p w14:paraId="4D19C181" w14:textId="5646495D" w:rsidR="00B30E7E" w:rsidRDefault="00B30E7E" w:rsidP="00B30E7E">
      <w:pPr>
        <w:pStyle w:val="LGTdoc1"/>
        <w:spacing w:beforeLines="0" w:before="120" w:after="220" w:afterAutospacing="0"/>
        <w:rPr>
          <w:b w:val="0"/>
          <w:sz w:val="22"/>
          <w:szCs w:val="22"/>
        </w:rPr>
      </w:pPr>
      <w:r>
        <w:rPr>
          <w:b w:val="0"/>
          <w:sz w:val="22"/>
          <w:szCs w:val="22"/>
        </w:rPr>
        <w:t xml:space="preserve">This effect is also present when the UE is in small coverage extension (e.g. 4 repetitions needed): the UE </w:t>
      </w:r>
      <w:proofErr w:type="gramStart"/>
      <w:r>
        <w:rPr>
          <w:b w:val="0"/>
          <w:sz w:val="22"/>
          <w:szCs w:val="22"/>
        </w:rPr>
        <w:t>has</w:t>
      </w:r>
      <w:proofErr w:type="gramEnd"/>
      <w:r>
        <w:rPr>
          <w:b w:val="0"/>
          <w:sz w:val="22"/>
          <w:szCs w:val="22"/>
        </w:rPr>
        <w:t xml:space="preserve"> to stay awake for 4ms every DRX cycle to monitor MPDCCH.</w:t>
      </w:r>
    </w:p>
    <w:p w14:paraId="73B0875F" w14:textId="6F6B53E4" w:rsidR="00B30E7E" w:rsidRDefault="00B30E7E" w:rsidP="00B30E7E">
      <w:pPr>
        <w:pStyle w:val="LGTdoc1"/>
        <w:spacing w:beforeLines="0" w:before="120" w:after="220" w:afterAutospacing="0"/>
        <w:rPr>
          <w:b w:val="0"/>
          <w:sz w:val="22"/>
          <w:szCs w:val="22"/>
        </w:rPr>
      </w:pPr>
      <w:r>
        <w:rPr>
          <w:b w:val="0"/>
          <w:sz w:val="22"/>
          <w:szCs w:val="22"/>
        </w:rPr>
        <w:t xml:space="preserve">One possible solution to this problem is to introduce a new signal that carries a single bit (ON/OFF) per UE, this bit indicating if MPDCCH is present in the </w:t>
      </w:r>
      <w:proofErr w:type="spellStart"/>
      <w:r>
        <w:rPr>
          <w:b w:val="0"/>
          <w:sz w:val="22"/>
          <w:szCs w:val="22"/>
        </w:rPr>
        <w:t>subframe</w:t>
      </w:r>
      <w:proofErr w:type="spellEnd"/>
      <w:r>
        <w:rPr>
          <w:b w:val="0"/>
          <w:sz w:val="22"/>
          <w:szCs w:val="22"/>
        </w:rPr>
        <w:t xml:space="preserve"> or not. This signal can be transmitted in one of the first OFDM symbols of the </w:t>
      </w:r>
      <w:proofErr w:type="spellStart"/>
      <w:r>
        <w:rPr>
          <w:b w:val="0"/>
          <w:sz w:val="22"/>
          <w:szCs w:val="22"/>
        </w:rPr>
        <w:t>subframe</w:t>
      </w:r>
      <w:proofErr w:type="spellEnd"/>
      <w:r>
        <w:rPr>
          <w:b w:val="0"/>
          <w:sz w:val="22"/>
          <w:szCs w:val="22"/>
        </w:rPr>
        <w:t xml:space="preserve">, and the UE can use it to early detect the presence of MPDCCH. We show one example of this signal in Figure 1. The signal is transmitted in the third OFDM symbol, and it can be a known sequence for the UE (e.g. similar to CRS). If the UE finds this sequence, then it means that there is an MPDCCH for this particular UE, and thus the UE shall process the rest of the </w:t>
      </w:r>
      <w:proofErr w:type="spellStart"/>
      <w:r>
        <w:rPr>
          <w:b w:val="0"/>
          <w:sz w:val="22"/>
          <w:szCs w:val="22"/>
        </w:rPr>
        <w:t>subframe</w:t>
      </w:r>
      <w:proofErr w:type="spellEnd"/>
      <w:r>
        <w:rPr>
          <w:b w:val="0"/>
          <w:sz w:val="22"/>
          <w:szCs w:val="22"/>
        </w:rPr>
        <w:t>. If no signal is found, the UE can assume that there is no grant for him, and can turn the receiver off. In the example below, with 1 OFDM symbol to detect the signal</w:t>
      </w:r>
      <w:r w:rsidR="00A14EFF">
        <w:rPr>
          <w:b w:val="0"/>
          <w:sz w:val="22"/>
          <w:szCs w:val="22"/>
        </w:rPr>
        <w:t xml:space="preserve"> (note that this detection may not require decoding, but a mere cross-correlation with a known sequence)</w:t>
      </w:r>
      <w:r>
        <w:rPr>
          <w:b w:val="0"/>
          <w:sz w:val="22"/>
          <w:szCs w:val="22"/>
        </w:rPr>
        <w:t>, power savings of approximately 71% can be achieved. Even with 3 symbols for processing the power savings are of 57%.</w:t>
      </w:r>
    </w:p>
    <w:p w14:paraId="727B8560" w14:textId="2D630296" w:rsidR="00B30E7E" w:rsidRPr="00B30E7E" w:rsidRDefault="00B30E7E" w:rsidP="00B30E7E">
      <w:pPr>
        <w:pStyle w:val="LGTdoc1"/>
        <w:spacing w:beforeLines="0" w:before="120" w:after="220" w:afterAutospacing="0"/>
        <w:rPr>
          <w:sz w:val="22"/>
          <w:szCs w:val="22"/>
        </w:rPr>
      </w:pPr>
      <w:r w:rsidRPr="00B30E7E">
        <w:rPr>
          <w:sz w:val="22"/>
          <w:szCs w:val="22"/>
          <w:u w:val="single"/>
        </w:rPr>
        <w:t>Observation 2:</w:t>
      </w:r>
      <w:r>
        <w:rPr>
          <w:sz w:val="22"/>
          <w:szCs w:val="22"/>
        </w:rPr>
        <w:t xml:space="preserve"> Introducing a new signal that indicates presence of MPDCCH for a UE can lead to large power savings when monitoring MPDCCH.</w:t>
      </w:r>
    </w:p>
    <w:p w14:paraId="6AF8790B" w14:textId="77777777" w:rsidR="00B30E7E" w:rsidRDefault="00B30E7E" w:rsidP="00B30E7E">
      <w:pPr>
        <w:pStyle w:val="LGTdoc1"/>
        <w:spacing w:beforeLines="0" w:before="120" w:after="220" w:afterAutospacing="0"/>
        <w:rPr>
          <w:b w:val="0"/>
          <w:sz w:val="22"/>
          <w:szCs w:val="22"/>
        </w:rPr>
      </w:pPr>
    </w:p>
    <w:p w14:paraId="3E4ED3B0" w14:textId="3153872B" w:rsidR="00B30E7E" w:rsidRDefault="00B30E7E" w:rsidP="00B30E7E">
      <w:pPr>
        <w:pStyle w:val="LGTdoc1"/>
        <w:keepNext/>
        <w:spacing w:beforeLines="0" w:before="120" w:after="220" w:afterAutospacing="0"/>
        <w:jc w:val="center"/>
      </w:pPr>
      <w:r>
        <w:object w:dxaOrig="5186" w:dyaOrig="5285" w14:anchorId="15DB4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64.75pt" o:ole="">
            <v:imagedata r:id="rId14" o:title=""/>
          </v:shape>
          <o:OLEObject Type="Embed" ProgID="Visio.Drawing.11" ShapeID="_x0000_i1025" DrawAspect="Content" ObjectID="_1539792810" r:id="rId15"/>
        </w:object>
      </w:r>
    </w:p>
    <w:p w14:paraId="59488E3C" w14:textId="752DEC75" w:rsidR="00B30E7E" w:rsidRDefault="00B30E7E" w:rsidP="00B30E7E">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A14EFF">
        <w:rPr>
          <w:noProof/>
        </w:rPr>
        <w:t>1</w:t>
      </w:r>
      <w:r>
        <w:fldChar w:fldCharType="end"/>
      </w:r>
      <w:r>
        <w:t xml:space="preserve"> A new signal or channel is transmitted in the third symbol. The UE only processes the rest of the symbol if this signal is found.</w:t>
      </w:r>
    </w:p>
    <w:p w14:paraId="6F96436B" w14:textId="77777777" w:rsidR="00B30E7E" w:rsidRDefault="00B30E7E" w:rsidP="00437445">
      <w:pPr>
        <w:pStyle w:val="LGTdoc1"/>
        <w:spacing w:beforeLines="0" w:before="120" w:after="220" w:afterAutospacing="0"/>
        <w:rPr>
          <w:b w:val="0"/>
          <w:sz w:val="22"/>
          <w:szCs w:val="22"/>
        </w:rPr>
      </w:pPr>
    </w:p>
    <w:p w14:paraId="2BF709E5" w14:textId="7B73FCB6" w:rsidR="00B30E7E" w:rsidRDefault="00B30E7E" w:rsidP="00B30E7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Narrowband control</w:t>
      </w:r>
    </w:p>
    <w:p w14:paraId="19A57486" w14:textId="78DAFA1E" w:rsidR="00B30E7E" w:rsidRDefault="00B30E7E" w:rsidP="00B30E7E">
      <w:pPr>
        <w:pStyle w:val="LGTdoc1"/>
        <w:spacing w:beforeLines="0" w:before="120" w:after="220" w:afterAutospacing="0"/>
        <w:jc w:val="left"/>
        <w:rPr>
          <w:b w:val="0"/>
          <w:sz w:val="22"/>
          <w:szCs w:val="22"/>
        </w:rPr>
      </w:pPr>
      <w:r>
        <w:rPr>
          <w:b w:val="0"/>
          <w:sz w:val="22"/>
          <w:szCs w:val="22"/>
        </w:rPr>
        <w:t xml:space="preserve">The rationale behind the technique in the previous section is to reduce the UE power consumption by reducing the time it is ON. An alternative solution would be to keep the basic time unit (e.g. 1ms), but reduce the </w:t>
      </w:r>
      <w:r w:rsidR="00A14EFF">
        <w:rPr>
          <w:b w:val="0"/>
          <w:sz w:val="22"/>
          <w:szCs w:val="22"/>
        </w:rPr>
        <w:t>processing power</w:t>
      </w:r>
      <w:r>
        <w:rPr>
          <w:b w:val="0"/>
          <w:sz w:val="22"/>
          <w:szCs w:val="22"/>
        </w:rPr>
        <w:t xml:space="preserve"> needed to detect the presence of a control channel. Reducing the bandwidth (e.g. to 1PRB or less) would enable the UE to implement a </w:t>
      </w:r>
      <w:r>
        <w:rPr>
          <w:b w:val="0"/>
          <w:i/>
          <w:sz w:val="22"/>
          <w:szCs w:val="22"/>
        </w:rPr>
        <w:t>low power</w:t>
      </w:r>
      <w:r>
        <w:rPr>
          <w:b w:val="0"/>
          <w:sz w:val="22"/>
          <w:szCs w:val="22"/>
        </w:rPr>
        <w:t xml:space="preserve"> receiver that would be running when no traffic is active. Similar ideas have been presented for different technologies under the framework of </w:t>
      </w:r>
      <w:r>
        <w:rPr>
          <w:b w:val="0"/>
          <w:i/>
          <w:sz w:val="22"/>
          <w:szCs w:val="22"/>
        </w:rPr>
        <w:t>low-power wake-up receiver</w:t>
      </w:r>
      <w:r>
        <w:rPr>
          <w:b w:val="0"/>
          <w:sz w:val="22"/>
          <w:szCs w:val="22"/>
        </w:rPr>
        <w:t xml:space="preserve"> (e.g. [1-2])</w:t>
      </w:r>
      <w:r w:rsidR="00A14EFF">
        <w:rPr>
          <w:b w:val="0"/>
          <w:sz w:val="22"/>
          <w:szCs w:val="22"/>
        </w:rPr>
        <w:t>.</w:t>
      </w:r>
    </w:p>
    <w:p w14:paraId="67E6E7D9" w14:textId="4135A80E" w:rsidR="00A14EFF" w:rsidRDefault="00A14EFF" w:rsidP="00B30E7E">
      <w:pPr>
        <w:pStyle w:val="LGTdoc1"/>
        <w:spacing w:beforeLines="0" w:before="120" w:after="220" w:afterAutospacing="0"/>
        <w:jc w:val="left"/>
        <w:rPr>
          <w:b w:val="0"/>
          <w:sz w:val="22"/>
          <w:szCs w:val="22"/>
        </w:rPr>
      </w:pPr>
      <w:r>
        <w:rPr>
          <w:b w:val="0"/>
          <w:sz w:val="22"/>
          <w:szCs w:val="22"/>
        </w:rPr>
        <w:t>Similarly to the idea presented in the previous section, this narrowband control can be an indication of the presence of a wider bandwidth control (e.g. 6PRB MPDCCH) or it may include the DCI itself (this may be feasible in good coverage conditions). We show an example of this operation in Figure 2.</w:t>
      </w:r>
    </w:p>
    <w:p w14:paraId="452FCBB9" w14:textId="73BE2C8B" w:rsidR="00A14EFF" w:rsidRPr="00A14EFF" w:rsidRDefault="00A14EFF" w:rsidP="00A14EFF">
      <w:pPr>
        <w:pStyle w:val="LGTdoc1"/>
        <w:spacing w:beforeLines="0" w:before="120" w:after="220" w:afterAutospacing="0"/>
        <w:rPr>
          <w:sz w:val="22"/>
          <w:szCs w:val="22"/>
        </w:rPr>
      </w:pPr>
      <w:r w:rsidRPr="00B30E7E">
        <w:rPr>
          <w:sz w:val="22"/>
          <w:szCs w:val="22"/>
          <w:u w:val="single"/>
        </w:rPr>
        <w:t xml:space="preserve">Observation </w:t>
      </w:r>
      <w:r>
        <w:rPr>
          <w:sz w:val="22"/>
          <w:szCs w:val="22"/>
          <w:u w:val="single"/>
        </w:rPr>
        <w:t>3</w:t>
      </w:r>
      <w:r w:rsidRPr="00B30E7E">
        <w:rPr>
          <w:sz w:val="22"/>
          <w:szCs w:val="22"/>
          <w:u w:val="single"/>
        </w:rPr>
        <w:t>:</w:t>
      </w:r>
      <w:r>
        <w:rPr>
          <w:sz w:val="22"/>
          <w:szCs w:val="22"/>
        </w:rPr>
        <w:t xml:space="preserve"> A lower bandwidth control channel (e.g. MPDCCH of 1PRB) can provide further power savings to a UE, similar to </w:t>
      </w:r>
      <w:r>
        <w:rPr>
          <w:i/>
          <w:sz w:val="22"/>
          <w:szCs w:val="22"/>
        </w:rPr>
        <w:t>low-power wake-up receivers.</w:t>
      </w:r>
    </w:p>
    <w:p w14:paraId="6B58B54A" w14:textId="77777777" w:rsidR="00A14EFF" w:rsidRPr="00B30E7E" w:rsidRDefault="00A14EFF" w:rsidP="00B30E7E">
      <w:pPr>
        <w:pStyle w:val="LGTdoc1"/>
        <w:spacing w:beforeLines="0" w:before="120" w:after="220" w:afterAutospacing="0"/>
        <w:jc w:val="left"/>
        <w:rPr>
          <w:rFonts w:ascii="Arial" w:hAnsi="Arial" w:cs="Arial"/>
          <w:lang w:val="en-US"/>
        </w:rPr>
      </w:pPr>
    </w:p>
    <w:p w14:paraId="6382F114" w14:textId="77777777" w:rsidR="00A14EFF" w:rsidRDefault="00A14EFF" w:rsidP="00A14EFF">
      <w:pPr>
        <w:pStyle w:val="LGTdoc1"/>
        <w:keepNext/>
        <w:spacing w:beforeLines="0" w:before="120" w:after="220" w:afterAutospacing="0"/>
        <w:jc w:val="center"/>
      </w:pPr>
      <w:r>
        <w:object w:dxaOrig="5835" w:dyaOrig="3716" w14:anchorId="1B967AB5">
          <v:shape id="_x0000_i1026" type="#_x0000_t75" style="width:378.75pt;height:241.5pt" o:ole="">
            <v:imagedata r:id="rId16" o:title=""/>
          </v:shape>
          <o:OLEObject Type="Embed" ProgID="Visio.Drawing.11" ShapeID="_x0000_i1026" DrawAspect="Content" ObjectID="_1539792811" r:id="rId17"/>
        </w:object>
      </w:r>
    </w:p>
    <w:p w14:paraId="4A670AE2" w14:textId="1B610C7E" w:rsidR="00B30E7E" w:rsidRDefault="00A14EFF" w:rsidP="00A14EF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UE monitors a signal in 1PRB. When the signal is received, it moves to 6PRB mode to receive MPDCCH. Alternatively, the grant (or a reduced grant) may be contained in the 1PRB signal.</w:t>
      </w:r>
    </w:p>
    <w:bookmarkEnd w:id="0"/>
    <w:bookmarkEnd w:id="1"/>
    <w:p w14:paraId="06F75DA6" w14:textId="77777777" w:rsidR="00682583" w:rsidRDefault="00682583" w:rsidP="00682583">
      <w:pPr>
        <w:pStyle w:val="LGTdoc1"/>
        <w:spacing w:beforeLines="0" w:before="120" w:after="220" w:afterAutospacing="0"/>
        <w:rPr>
          <w:b w:val="0"/>
          <w:sz w:val="22"/>
          <w:szCs w:val="22"/>
        </w:rPr>
      </w:pPr>
    </w:p>
    <w:p w14:paraId="5AD06A1E" w14:textId="7B597776" w:rsidR="00682583" w:rsidRDefault="00A14EFF" w:rsidP="00682583">
      <w:pPr>
        <w:pStyle w:val="LGTdoc1"/>
        <w:numPr>
          <w:ilvl w:val="0"/>
          <w:numId w:val="3"/>
        </w:numPr>
        <w:spacing w:beforeLines="0" w:before="120" w:after="220" w:afterAutospacing="0"/>
        <w:rPr>
          <w:rFonts w:ascii="Arial" w:hAnsi="Arial" w:cs="Arial"/>
          <w:lang w:val="en-US"/>
        </w:rPr>
      </w:pPr>
      <w:r>
        <w:rPr>
          <w:rFonts w:ascii="Arial" w:hAnsi="Arial" w:cs="Arial"/>
          <w:lang w:val="en-US"/>
        </w:rPr>
        <w:t>Conclusions</w:t>
      </w:r>
    </w:p>
    <w:p w14:paraId="1CD1D563" w14:textId="075DCED5" w:rsidR="00A14EFF" w:rsidRPr="00A14EFF" w:rsidRDefault="00A14EFF" w:rsidP="00A14EFF">
      <w:pPr>
        <w:pStyle w:val="LGTdoc1"/>
        <w:spacing w:beforeLines="0" w:before="120" w:after="220" w:afterAutospacing="0"/>
        <w:rPr>
          <w:b w:val="0"/>
          <w:bCs/>
          <w:sz w:val="22"/>
          <w:szCs w:val="22"/>
          <w:lang w:val="en-US"/>
        </w:rPr>
      </w:pPr>
      <w:r w:rsidRPr="00A14EFF">
        <w:rPr>
          <w:b w:val="0"/>
          <w:bCs/>
          <w:sz w:val="22"/>
          <w:szCs w:val="22"/>
          <w:lang w:val="en-US"/>
        </w:rPr>
        <w:t>In this contribution</w:t>
      </w:r>
      <w:r>
        <w:rPr>
          <w:b w:val="0"/>
          <w:bCs/>
          <w:sz w:val="22"/>
          <w:szCs w:val="22"/>
          <w:lang w:val="en-US"/>
        </w:rPr>
        <w:t xml:space="preserve"> we presented two power consumption reduction techniques that can be applied to </w:t>
      </w:r>
      <w:proofErr w:type="spellStart"/>
      <w:r>
        <w:rPr>
          <w:b w:val="0"/>
          <w:bCs/>
          <w:sz w:val="22"/>
          <w:szCs w:val="22"/>
          <w:lang w:val="en-US"/>
        </w:rPr>
        <w:t>eMTC</w:t>
      </w:r>
      <w:proofErr w:type="spellEnd"/>
      <w:r>
        <w:rPr>
          <w:b w:val="0"/>
          <w:bCs/>
          <w:sz w:val="22"/>
          <w:szCs w:val="22"/>
          <w:lang w:val="en-US"/>
        </w:rPr>
        <w:t xml:space="preserve">, based on reducing the amount of time or frequency needed to determine if a </w:t>
      </w:r>
      <w:r w:rsidR="00473BBD">
        <w:rPr>
          <w:b w:val="0"/>
          <w:bCs/>
          <w:sz w:val="22"/>
          <w:szCs w:val="22"/>
          <w:lang w:val="en-US"/>
        </w:rPr>
        <w:t>control channel is present.</w:t>
      </w:r>
      <w:r>
        <w:rPr>
          <w:b w:val="0"/>
          <w:bCs/>
          <w:sz w:val="22"/>
          <w:szCs w:val="22"/>
          <w:lang w:val="en-US"/>
        </w:rPr>
        <w:t xml:space="preserve"> These techniques can deliver power savings in scenarios where the DRX cycles are short, and the UE monitors MPDCCH with relative</w:t>
      </w:r>
      <w:r w:rsidR="00473BBD">
        <w:rPr>
          <w:b w:val="0"/>
          <w:bCs/>
          <w:sz w:val="22"/>
          <w:szCs w:val="22"/>
          <w:lang w:val="en-US"/>
        </w:rPr>
        <w:t>ly high frequency but the number</w:t>
      </w:r>
      <w:r>
        <w:rPr>
          <w:b w:val="0"/>
          <w:bCs/>
          <w:sz w:val="22"/>
          <w:szCs w:val="22"/>
          <w:lang w:val="en-US"/>
        </w:rPr>
        <w:t xml:space="preserve"> of received grants is small. This can be applicable to both connected mode DRX and idle mode DRX (e.g. paging monitoring). RAN1 should consider for Rel-14 or future releases the study of techniques like the ones presented above.</w:t>
      </w:r>
    </w:p>
    <w:p w14:paraId="54B437F4" w14:textId="77777777" w:rsidR="00A14EFF" w:rsidRDefault="00A14EFF" w:rsidP="00A14EFF">
      <w:pPr>
        <w:pStyle w:val="LGTdoc1"/>
        <w:spacing w:beforeLines="0" w:before="120" w:after="220" w:afterAutospacing="0"/>
        <w:rPr>
          <w:rFonts w:ascii="Arial" w:hAnsi="Arial" w:cs="Arial"/>
          <w:lang w:val="en-US"/>
        </w:rPr>
      </w:pPr>
      <w:bookmarkStart w:id="2" w:name="_GoBack"/>
      <w:bookmarkEnd w:id="2"/>
    </w:p>
    <w:p w14:paraId="7EACF788" w14:textId="1F691185" w:rsidR="00A14EFF" w:rsidRDefault="00A14EFF" w:rsidP="00A14EFF">
      <w:pPr>
        <w:pStyle w:val="LGTdoc1"/>
        <w:spacing w:beforeLines="0" w:before="120" w:after="220" w:afterAutospacing="0"/>
        <w:rPr>
          <w:rFonts w:ascii="Arial" w:hAnsi="Arial" w:cs="Arial"/>
          <w:lang w:val="en-US"/>
        </w:rPr>
      </w:pPr>
      <w:r>
        <w:rPr>
          <w:rFonts w:ascii="Arial" w:hAnsi="Arial" w:cs="Arial"/>
          <w:lang w:val="en-US"/>
        </w:rPr>
        <w:t>References</w:t>
      </w:r>
    </w:p>
    <w:p w14:paraId="6F2E1D82" w14:textId="0527F6DE" w:rsidR="00B30E7E" w:rsidRDefault="00B30E7E" w:rsidP="006F5C8E">
      <w:pPr>
        <w:pStyle w:val="LGTdoc1"/>
        <w:spacing w:beforeLines="0" w:before="120" w:after="220" w:afterAutospacing="0"/>
        <w:rPr>
          <w:b w:val="0"/>
          <w:bCs/>
          <w:sz w:val="22"/>
          <w:szCs w:val="22"/>
          <w:lang w:val="en-US"/>
        </w:rPr>
      </w:pPr>
      <w:r>
        <w:rPr>
          <w:b w:val="0"/>
          <w:bCs/>
          <w:sz w:val="22"/>
          <w:szCs w:val="22"/>
          <w:lang w:val="en-US"/>
        </w:rPr>
        <w:t>[1] IEEE 802.11-15/1307r1 – “</w:t>
      </w:r>
      <w:r w:rsidRPr="00B30E7E">
        <w:rPr>
          <w:b w:val="0"/>
          <w:bCs/>
          <w:sz w:val="22"/>
          <w:szCs w:val="22"/>
          <w:lang w:val="en-US"/>
        </w:rPr>
        <w:t>Low-Power Wake-Up Receiver (LP-WUR) for 802.11</w:t>
      </w:r>
      <w:r>
        <w:rPr>
          <w:b w:val="0"/>
          <w:bCs/>
          <w:sz w:val="22"/>
          <w:szCs w:val="22"/>
          <w:lang w:val="en-US"/>
        </w:rPr>
        <w:t xml:space="preserve">”, Intel Corporation, </w:t>
      </w:r>
      <w:proofErr w:type="spellStart"/>
      <w:r>
        <w:rPr>
          <w:b w:val="0"/>
          <w:bCs/>
          <w:sz w:val="22"/>
          <w:szCs w:val="22"/>
          <w:lang w:val="en-US"/>
        </w:rPr>
        <w:t>Mediatek</w:t>
      </w:r>
      <w:proofErr w:type="spellEnd"/>
    </w:p>
    <w:p w14:paraId="6936624C" w14:textId="6907B63B" w:rsidR="00B30E7E" w:rsidRPr="00B30E7E" w:rsidRDefault="00A14EFF" w:rsidP="006F5C8E">
      <w:pPr>
        <w:pStyle w:val="LGTdoc1"/>
        <w:spacing w:beforeLines="0" w:before="120" w:after="220" w:afterAutospacing="0"/>
        <w:rPr>
          <w:b w:val="0"/>
          <w:sz w:val="22"/>
          <w:szCs w:val="22"/>
        </w:rPr>
      </w:pPr>
      <w:r>
        <w:rPr>
          <w:b w:val="0"/>
          <w:bCs/>
          <w:sz w:val="22"/>
          <w:szCs w:val="22"/>
          <w:lang w:val="en-US"/>
        </w:rPr>
        <w:t>[2] IEEE 802.11-16/0381r0 – “Discussion of Wake-Up receivers for LRLP”, Ericsson AB, Lund University</w:t>
      </w:r>
    </w:p>
    <w:sectPr w:rsidR="00B30E7E" w:rsidRPr="00B30E7E"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94A38" w14:textId="77777777" w:rsidR="00353881" w:rsidRDefault="00353881">
      <w:r>
        <w:separator/>
      </w:r>
    </w:p>
  </w:endnote>
  <w:endnote w:type="continuationSeparator" w:id="0">
    <w:p w14:paraId="20DEB8FB" w14:textId="77777777" w:rsidR="00353881" w:rsidRDefault="00353881">
      <w:r>
        <w:continuationSeparator/>
      </w:r>
    </w:p>
  </w:endnote>
  <w:endnote w:type="continuationNotice" w:id="1">
    <w:p w14:paraId="7D08BEC4" w14:textId="77777777" w:rsidR="00353881" w:rsidRDefault="00353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3BBD">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4637C" w14:textId="77777777" w:rsidR="00353881" w:rsidRDefault="00353881">
      <w:r>
        <w:separator/>
      </w:r>
    </w:p>
  </w:footnote>
  <w:footnote w:type="continuationSeparator" w:id="0">
    <w:p w14:paraId="33BECFBB" w14:textId="77777777" w:rsidR="00353881" w:rsidRDefault="00353881">
      <w:r>
        <w:continuationSeparator/>
      </w:r>
    </w:p>
  </w:footnote>
  <w:footnote w:type="continuationNotice" w:id="1">
    <w:p w14:paraId="782345BB" w14:textId="77777777" w:rsidR="00353881" w:rsidRDefault="003538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6"/>
  </w:num>
  <w:num w:numId="4">
    <w:abstractNumId w:val="10"/>
  </w:num>
  <w:num w:numId="5">
    <w:abstractNumId w:val="11"/>
  </w:num>
  <w:num w:numId="6">
    <w:abstractNumId w:val="0"/>
  </w:num>
  <w:num w:numId="7">
    <w:abstractNumId w:val="12"/>
  </w:num>
  <w:num w:numId="8">
    <w:abstractNumId w:val="8"/>
  </w:num>
  <w:num w:numId="9">
    <w:abstractNumId w:val="2"/>
  </w:num>
  <w:num w:numId="10">
    <w:abstractNumId w:val="3"/>
  </w:num>
  <w:num w:numId="11">
    <w:abstractNumId w:val="9"/>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36"/>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881"/>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6FE"/>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BD"/>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2F25"/>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2C5"/>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07"/>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0F6"/>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892"/>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C5C"/>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4667436">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B4A9DB42-6954-4BAA-9307-558C18409C0A}">
  <ds:schemaRefs>
    <ds:schemaRef ds:uri="http://schemas.openxmlformats.org/officeDocument/2006/bibliography"/>
  </ds:schemaRefs>
</ds:datastoreItem>
</file>

<file path=customXml/itemProps7.xml><?xml version="1.0" encoding="utf-8"?>
<ds:datastoreItem xmlns:ds="http://schemas.openxmlformats.org/officeDocument/2006/customXml" ds:itemID="{DD41045A-8F5D-461F-A123-460D4F74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3</Pages>
  <Words>794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38</cp:revision>
  <cp:lastPrinted>2010-08-13T21:54:00Z</cp:lastPrinted>
  <dcterms:created xsi:type="dcterms:W3CDTF">2016-03-22T22:35:00Z</dcterms:created>
  <dcterms:modified xsi:type="dcterms:W3CDTF">2016-11-05T02:27:00Z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